
<file path=[Content_Types].xml><?xml version="1.0" encoding="utf-8"?>
<Types xmlns="http://schemas.openxmlformats.org/package/2006/content-types">
  <Default ContentType="application/vnd.openxmlformats-package.relationships+xml" Extension="rels"/>
  <Default ContentType="image/jpeg" Extension="jpeg"/>
  <Default ContentType="application/xml" Extension="xml"/>
  <Override ContentType="application/vnd.openxmlformats-officedocument.extended-properties+xml" PartName="/docProps/app.xml"/>
  <Override ContentType="application/vnd.openxmlformats-officedocument.extended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rPr>
          <w:b w:val="1"/>
          <w:sz w:val="28"/>
        </w:rPr>
      </w:pPr>
      <w:r>
        <w:rPr>
          <w:b w:val="1"/>
          <w:sz w:val="28"/>
        </w:rPr>
        <w:drawing>
          <wp:inline>
            <wp:extent cx="3025140" cy="1212850"/>
            <wp:docPr id="2" name="Picture 2"/>
            <a:graphic>
              <a:graphicData uri="http://schemas.openxmlformats.org/drawingml/2006/picture">
                <pic:pic>
                  <pic:nvPicPr>
                    <pic:cNvPr id="1" name="Picture 1"/>
                    <pic:cNvPicPr preferRelativeResize="true"/>
                  </pic:nvPicPr>
                  <pic:blipFill>
                    <a:blip r:embed="rId1" r:link=""/>
                    <a:srcRect b="0" l="0" r="0" t="0"/>
                    <a:stretch/>
                  </pic:blipFill>
                  <pic:spPr>
                    <a:xfrm rot="0">
                      <a:ext cx="3025140" cy="121285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rPr>
          <w:b w:val="1"/>
          <w:sz w:val="28"/>
        </w:rPr>
      </w:pPr>
    </w:p>
    <w:p w14:paraId="03000000">
      <w:pPr>
        <w:ind/>
        <w:jc w:val="right"/>
        <w:rPr>
          <w:rFonts w:ascii="Segoe UI" w:hAnsi="Segoe UI"/>
          <w:b w:val="1"/>
          <w:sz w:val="32"/>
        </w:rPr>
      </w:pPr>
    </w:p>
    <w:p w14:paraId="04000000">
      <w:pPr>
        <w:ind/>
        <w:jc w:val="right"/>
        <w:rPr>
          <w:rFonts w:ascii="Segoe UI" w:hAnsi="Segoe UI"/>
          <w:b w:val="1"/>
          <w:sz w:val="32"/>
        </w:rPr>
      </w:pPr>
      <w:r>
        <w:rPr>
          <w:rFonts w:ascii="Segoe UI" w:hAnsi="Segoe UI"/>
          <w:b w:val="1"/>
          <w:sz w:val="32"/>
        </w:rPr>
        <w:t>ПРЕСС-РЕЛИЗ</w:t>
      </w:r>
    </w:p>
    <w:p w14:paraId="05000000">
      <w:pPr>
        <w:rPr>
          <w:rFonts w:ascii="Segoe UI" w:hAnsi="Segoe UI"/>
          <w:b w:val="1"/>
          <w:sz w:val="32"/>
        </w:rPr>
      </w:pPr>
    </w:p>
    <w:p w14:paraId="06000000">
      <w:pPr>
        <w:ind/>
        <w:jc w:val="center"/>
        <w:outlineLvl w:val="0"/>
        <w:rPr>
          <w:rFonts w:ascii="Segoe UI" w:hAnsi="Segoe UI"/>
          <w:b w:val="1"/>
          <w:sz w:val="32"/>
        </w:rPr>
      </w:pPr>
    </w:p>
    <w:p w14:paraId="07000000">
      <w:pPr>
        <w:pStyle w:val="Style_1"/>
        <w:ind/>
        <w:jc w:val="center"/>
        <w:rPr>
          <w:rFonts w:ascii="Segoe UI" w:hAnsi="Segoe UI"/>
          <w:sz w:val="26"/>
        </w:rPr>
      </w:pPr>
      <w:r>
        <w:rPr>
          <w:rFonts w:ascii="Segoe UI" w:hAnsi="Segoe UI"/>
          <w:sz w:val="26"/>
        </w:rPr>
        <w:t>РАЗМЕЩЕНИЕ ВЫШКИ СОТОВОЙ СВЯЗИ НА ЗЕМЕЛЬНОМ УЧАСТКЕ: ЕСТЬ ЛИ НАРУШЕНИЕ ЗЕМЕЛЬНОГО ЗАКОНОДАТЕЛЬСТВА?</w:t>
      </w:r>
    </w:p>
    <w:p w14:paraId="08000000">
      <w:pPr>
        <w:pStyle w:val="Style_1"/>
        <w:ind/>
        <w:jc w:val="both"/>
        <w:rPr>
          <w:rFonts w:ascii="Segoe UI" w:hAnsi="Segoe UI"/>
          <w:b w:val="0"/>
          <w:sz w:val="26"/>
        </w:rPr>
      </w:pPr>
    </w:p>
    <w:p w14:paraId="09000000">
      <w:pPr>
        <w:pStyle w:val="Style_1"/>
        <w:ind/>
        <w:jc w:val="both"/>
        <w:rPr>
          <w:rFonts w:ascii="Segoe UI" w:hAnsi="Segoe UI"/>
          <w:b w:val="0"/>
          <w:sz w:val="24"/>
        </w:rPr>
      </w:pPr>
      <w:r>
        <w:rPr>
          <w:rFonts w:ascii="Segoe UI" w:hAnsi="Segoe UI"/>
          <w:b w:val="0"/>
          <w:sz w:val="24"/>
        </w:rPr>
        <w:t>В Управление Росреестра по Нижегородской области (далее-Управление) неоднократно поступают обращения владельцев недвижимости, по вопросу ненадлежащего размещения вышек сотовой связи, вблизи их земельных участков, что угрожает здоровью граждан.</w:t>
      </w:r>
    </w:p>
    <w:p w14:paraId="0A000000">
      <w:pPr>
        <w:pStyle w:val="Style_1"/>
        <w:ind/>
        <w:jc w:val="both"/>
        <w:rPr>
          <w:rFonts w:ascii="Segoe UI" w:hAnsi="Segoe UI"/>
          <w:b w:val="0"/>
          <w:sz w:val="24"/>
        </w:rPr>
      </w:pPr>
      <w:r>
        <w:rPr>
          <w:rFonts w:ascii="Segoe UI" w:hAnsi="Segoe UI"/>
          <w:b w:val="0"/>
          <w:sz w:val="24"/>
        </w:rPr>
        <w:t>Главой V.6 Земельного Кодекса РФ предусмотрена возможность использования земель или земельных участков,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сервитута.</w:t>
      </w:r>
    </w:p>
    <w:p w14:paraId="0B000000">
      <w:pPr>
        <w:pStyle w:val="Style_1"/>
        <w:ind/>
        <w:jc w:val="both"/>
        <w:rPr>
          <w:rFonts w:ascii="Segoe UI" w:hAnsi="Segoe UI"/>
          <w:b w:val="0"/>
          <w:sz w:val="24"/>
        </w:rPr>
      </w:pPr>
      <w:r>
        <w:rPr>
          <w:rFonts w:ascii="Segoe UI" w:hAnsi="Segoe UI"/>
          <w:b w:val="0"/>
          <w:sz w:val="24"/>
        </w:rPr>
        <w:t>Согласно п. 3 ст. 39.36 ЗК РФ виды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публичного сервитута, устанавливаются Правительством Российской Федерации.</w:t>
      </w:r>
    </w:p>
    <w:p w14:paraId="0C000000">
      <w:pPr>
        <w:pStyle w:val="Style_1"/>
        <w:ind/>
        <w:jc w:val="both"/>
        <w:rPr>
          <w:rFonts w:ascii="Segoe UI" w:hAnsi="Segoe UI"/>
          <w:b w:val="0"/>
          <w:sz w:val="24"/>
        </w:rPr>
      </w:pPr>
      <w:r>
        <w:rPr>
          <w:rFonts w:ascii="Segoe UI" w:hAnsi="Segoe UI"/>
          <w:b w:val="0"/>
          <w:sz w:val="24"/>
        </w:rPr>
        <w:t xml:space="preserve">Согласно п. 12.9 ч. 1 ст. 29 Закона Нижегородской области от 08.04.2008 № 37-З "Об основах регулирования градостроительной деятельности на территории Нижегородской области" выдача разрешений на строительство не требуется в случаях размещения антенных опор </w:t>
      </w:r>
      <w:r>
        <w:rPr>
          <w:rFonts w:ascii="Segoe UI" w:hAnsi="Segoe UI"/>
          <w:b w:val="0"/>
          <w:sz w:val="24"/>
        </w:rPr>
        <w:t xml:space="preserve">(мачт </w:t>
      </w:r>
      <w:r>
        <w:rPr>
          <w:rFonts w:ascii="Segoe UI" w:hAnsi="Segoe UI"/>
          <w:b w:val="0"/>
          <w:sz w:val="24"/>
        </w:rPr>
        <w:t>и башен) высотой до 50 метров, предназначенных для размещения средств связи.</w:t>
      </w:r>
    </w:p>
    <w:p w14:paraId="0D000000">
      <w:pPr>
        <w:pStyle w:val="Style_1"/>
        <w:ind/>
        <w:jc w:val="both"/>
        <w:rPr>
          <w:rFonts w:ascii="Segoe UI" w:hAnsi="Segoe UI"/>
          <w:b w:val="0"/>
          <w:sz w:val="24"/>
        </w:rPr>
      </w:pPr>
      <w:r>
        <w:rPr>
          <w:rFonts w:ascii="Segoe UI" w:hAnsi="Segoe UI"/>
          <w:b w:val="0"/>
          <w:sz w:val="24"/>
        </w:rPr>
        <w:t xml:space="preserve">Таким образом, размещение сооружения связи на антенной опоре </w:t>
      </w:r>
      <w:r>
        <w:rPr>
          <w:rFonts w:ascii="Segoe UI" w:hAnsi="Segoe UI"/>
          <w:b w:val="0"/>
          <w:sz w:val="24"/>
        </w:rPr>
        <w:t xml:space="preserve">(мачте </w:t>
      </w:r>
      <w:r>
        <w:rPr>
          <w:rFonts w:ascii="Segoe UI" w:hAnsi="Segoe UI"/>
          <w:b w:val="0"/>
          <w:sz w:val="24"/>
        </w:rPr>
        <w:t>и башне) высотой до 50 метров может осуществляться без предоставления для этой цели земельного участка и установления сервитута.</w:t>
      </w:r>
    </w:p>
    <w:p w14:paraId="0E000000">
      <w:pPr>
        <w:pStyle w:val="Style_1"/>
        <w:ind/>
        <w:jc w:val="both"/>
        <w:rPr>
          <w:rFonts w:ascii="Segoe UI" w:hAnsi="Segoe UI"/>
          <w:b w:val="0"/>
          <w:sz w:val="24"/>
        </w:rPr>
      </w:pPr>
      <w:r>
        <w:rPr>
          <w:rFonts w:ascii="Segoe UI" w:hAnsi="Segoe UI"/>
          <w:b w:val="0"/>
          <w:sz w:val="24"/>
        </w:rPr>
        <w:t xml:space="preserve">Кроме того, в соответствии с п. 2 ст. 7 ЗК РФ виды разрешенного использования земельных участков определяются в соответствии с классификатором, утвержденным Приказом Росреестра от 10.11.2020 № П/0412 (далее – Приказ). </w:t>
      </w:r>
    </w:p>
    <w:p w14:paraId="0F000000">
      <w:pPr>
        <w:pStyle w:val="Style_1"/>
        <w:ind/>
        <w:jc w:val="both"/>
        <w:rPr>
          <w:rFonts w:ascii="Segoe UI" w:hAnsi="Segoe UI"/>
          <w:b w:val="0"/>
          <w:sz w:val="24"/>
        </w:rPr>
      </w:pPr>
      <w:r>
        <w:rPr>
          <w:rFonts w:ascii="Segoe UI" w:hAnsi="Segoe UI"/>
          <w:b w:val="0"/>
          <w:sz w:val="24"/>
        </w:rPr>
        <w:t>Согласно Примечанию 2 к Приказу содержание видов разрешенного использования, перечисленных в классификаторе, допускает без отдельного указания в классификаторе размещение и эксплуатацию линейного объекта (кроме железных дорог общего пользования и автомобильных дорог общего пользования федерального и регионального значения), размещение защитных сооружений (насаждений), объектов мелиорации, антенно-мачтовых сооружений, информационных и геодезических знаков, если федеральным законом не установлено иное.</w:t>
      </w:r>
    </w:p>
    <w:p w14:paraId="10000000">
      <w:pPr>
        <w:pStyle w:val="Style_1"/>
        <w:ind/>
        <w:jc w:val="both"/>
        <w:rPr>
          <w:rFonts w:ascii="Segoe UI" w:hAnsi="Segoe UI"/>
          <w:b w:val="0"/>
          <w:sz w:val="24"/>
        </w:rPr>
      </w:pPr>
      <w:r>
        <w:rPr>
          <w:rFonts w:ascii="Segoe UI" w:hAnsi="Segoe UI"/>
          <w:b w:val="0"/>
          <w:sz w:val="24"/>
        </w:rPr>
        <w:t>Согласно разъяснениям, изложенным в письме Департамента недвижимости Минэкономразвития России от 18.03.2016 № Д23и-1239, положения примечания 2 к названному приказу следует понимать, как дополнение к любому из видов разрешенного использования, указанного в классификаторе, если иное прямо не запрещено Федеральным законом. Размещение указанных в этом примечании антенно-мачтовых сооружений допускается на земельных участках с любым видом разрешенного использования без дополнительного кадастрового учета изменений в части разрешенного использования земельного участка.</w:t>
      </w:r>
    </w:p>
    <w:p w14:paraId="11000000">
      <w:pPr>
        <w:pStyle w:val="Style_1"/>
        <w:ind/>
        <w:jc w:val="both"/>
        <w:rPr>
          <w:rFonts w:ascii="Segoe UI" w:hAnsi="Segoe UI"/>
          <w:b w:val="0"/>
          <w:sz w:val="24"/>
        </w:rPr>
      </w:pPr>
      <w:r>
        <w:rPr>
          <w:rFonts w:ascii="Segoe UI" w:hAnsi="Segoe UI"/>
          <w:b w:val="0"/>
          <w:sz w:val="24"/>
        </w:rPr>
        <w:t>Учитывая вышеизложенное, а также сложившуюся судебную практику, размещение антенно-мачтовых сооружений связи допускается на земельных участках с любым видом разрешенного использования без дополнительного кадастрового учета изменений в части разрешенного вида использования земельного участка.</w:t>
      </w:r>
    </w:p>
    <w:p w14:paraId="12000000">
      <w:pPr>
        <w:pStyle w:val="Style_1"/>
        <w:ind/>
        <w:jc w:val="both"/>
        <w:rPr>
          <w:rFonts w:ascii="Segoe UI" w:hAnsi="Segoe UI"/>
          <w:b w:val="0"/>
          <w:sz w:val="24"/>
        </w:rPr>
      </w:pPr>
      <w:r>
        <w:rPr>
          <w:rFonts w:ascii="Segoe UI" w:hAnsi="Segoe UI"/>
          <w:b w:val="0"/>
          <w:sz w:val="24"/>
        </w:rPr>
        <w:t>В этой связи, оснований для осуществления мероприятий по линии государственного земельного надзора, целью которых является выявление нарушений требований земельного законодательства, ответственность за совершение которых предусмотрена действующим законодательством, в рассматриваемом случае не усматривается.</w:t>
      </w:r>
    </w:p>
    <w:p w14:paraId="13000000">
      <w:pPr>
        <w:pStyle w:val="Style_1"/>
        <w:ind/>
        <w:jc w:val="both"/>
        <w:rPr>
          <w:rFonts w:ascii="Segoe UI" w:hAnsi="Segoe UI"/>
          <w:b w:val="0"/>
          <w:sz w:val="24"/>
        </w:rPr>
      </w:pPr>
    </w:p>
    <w:p w14:paraId="14000000">
      <w:pPr>
        <w:pStyle w:val="Style_1"/>
        <w:ind/>
        <w:jc w:val="both"/>
        <w:rPr>
          <w:rFonts w:ascii="Segoe UI" w:hAnsi="Segoe UI"/>
          <w:b w:val="0"/>
          <w:sz w:val="24"/>
        </w:rPr>
      </w:pPr>
    </w:p>
    <w:p w14:paraId="15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Пресс-служба</w:t>
      </w:r>
    </w:p>
    <w:p w14:paraId="16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 xml:space="preserve">Управления Росреестра по Нижегородской области </w:t>
      </w:r>
    </w:p>
    <w:p w14:paraId="17000000">
      <w:pPr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Анна Дейнер</w:t>
      </w:r>
    </w:p>
    <w:p w14:paraId="18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телефон: 8 (831) 439 75 19</w:t>
      </w:r>
    </w:p>
    <w:p w14:paraId="19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е-</w:t>
      </w:r>
      <w:r>
        <w:rPr>
          <w:rFonts w:ascii="Segoe UI" w:hAnsi="Segoe UI"/>
          <w:sz w:val="20"/>
        </w:rPr>
        <w:t>mail</w:t>
      </w:r>
      <w:r>
        <w:rPr>
          <w:rFonts w:ascii="Segoe UI" w:hAnsi="Segoe UI"/>
          <w:sz w:val="20"/>
        </w:rPr>
        <w:t xml:space="preserve">: </w:t>
      </w:r>
      <w:r>
        <w:rPr>
          <w:rFonts w:ascii="Segoe UI" w:hAnsi="Segoe UI"/>
          <w:color w:val="0000FF"/>
          <w:sz w:val="20"/>
          <w:highlight w:val="white"/>
          <w:u w:val="single"/>
        </w:rPr>
        <w:fldChar w:fldCharType="begin"/>
      </w:r>
      <w:r>
        <w:rPr>
          <w:rFonts w:ascii="Segoe UI" w:hAnsi="Segoe UI"/>
          <w:color w:val="0000FF"/>
          <w:sz w:val="20"/>
          <w:highlight w:val="white"/>
          <w:u w:val="single"/>
        </w:rPr>
        <w:instrText>HYPERLINK "mailto:press@r52.rosreestr.ru"</w:instrText>
      </w:r>
      <w:r>
        <w:rPr>
          <w:rFonts w:ascii="Segoe UI" w:hAnsi="Segoe UI"/>
          <w:color w:val="0000FF"/>
          <w:sz w:val="20"/>
          <w:highlight w:val="white"/>
          <w:u w:val="single"/>
        </w:rPr>
        <w:fldChar w:fldCharType="separate"/>
      </w:r>
      <w:r>
        <w:rPr>
          <w:rFonts w:ascii="Segoe UI" w:hAnsi="Segoe UI"/>
          <w:color w:val="0000FF"/>
          <w:sz w:val="20"/>
          <w:highlight w:val="white"/>
          <w:u w:val="single"/>
        </w:rPr>
        <w:t>press@r52.rosreestr.ru</w:t>
      </w:r>
      <w:r>
        <w:rPr>
          <w:rFonts w:ascii="Segoe UI" w:hAnsi="Segoe UI"/>
          <w:color w:val="0000FF"/>
          <w:sz w:val="20"/>
          <w:highlight w:val="white"/>
          <w:u w:val="single"/>
        </w:rPr>
        <w:fldChar w:fldCharType="end"/>
      </w:r>
    </w:p>
    <w:p w14:paraId="1A000000">
      <w:pPr>
        <w:ind/>
        <w:jc w:val="both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 xml:space="preserve">сайт: </w:t>
      </w:r>
      <w:r>
        <w:rPr>
          <w:rFonts w:ascii="Segoe UI" w:hAnsi="Segoe UI"/>
          <w:sz w:val="20"/>
          <w:highlight w:val="white"/>
        </w:rPr>
        <w:t>https://www.rosreestr.ru/</w:t>
      </w:r>
    </w:p>
    <w:sectPr>
      <w:pgSz w:h="16838" w:w="11906"/>
      <w:pgMar w:bottom="1134" w:footer="709" w:gutter="0" w:header="709" w:left="1701" w:right="851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Balloon Text"/>
    <w:basedOn w:val="Style_2"/>
    <w:link w:val="Style_3_ch"/>
    <w:rPr>
      <w:rFonts w:ascii="Tahoma" w:hAnsi="Tahoma"/>
      <w:sz w:val="16"/>
    </w:rPr>
  </w:style>
  <w:style w:styleId="Style_3_ch" w:type="character">
    <w:name w:val="Balloon Text"/>
    <w:basedOn w:val="Style_2_ch"/>
    <w:link w:val="Style_3"/>
    <w:rPr>
      <w:rFonts w:ascii="Tahoma" w:hAnsi="Tahoma"/>
      <w:sz w:val="16"/>
    </w:rPr>
  </w:style>
  <w:style w:styleId="Style_4" w:type="paragraph">
    <w:name w:val="toc 2"/>
    <w:next w:val="Style_2"/>
    <w:link w:val="Style_4_ch"/>
    <w:uiPriority w:val="39"/>
    <w:pPr>
      <w:ind w:firstLine="0" w:left="200"/>
    </w:pPr>
  </w:style>
  <w:style w:styleId="Style_4_ch" w:type="character">
    <w:name w:val="toc 2"/>
    <w:link w:val="Style_4"/>
  </w:style>
  <w:style w:styleId="Style_5" w:type="paragraph">
    <w:name w:val="toc 4"/>
    <w:next w:val="Style_2"/>
    <w:link w:val="Style_5_ch"/>
    <w:uiPriority w:val="39"/>
    <w:pPr>
      <w:ind w:firstLine="0" w:left="600"/>
    </w:pPr>
  </w:style>
  <w:style w:styleId="Style_5_ch" w:type="character">
    <w:name w:val="toc 4"/>
    <w:link w:val="Style_5"/>
  </w:style>
  <w:style w:styleId="Style_6" w:type="paragraph">
    <w:name w:val="toc 6"/>
    <w:next w:val="Style_2"/>
    <w:link w:val="Style_6_ch"/>
    <w:uiPriority w:val="39"/>
    <w:pPr>
      <w:ind w:firstLine="0" w:left="1000"/>
    </w:pPr>
  </w:style>
  <w:style w:styleId="Style_6_ch" w:type="character">
    <w:name w:val="toc 6"/>
    <w:link w:val="Style_6"/>
  </w:style>
  <w:style w:styleId="Style_7" w:type="paragraph">
    <w:name w:val="toc 7"/>
    <w:next w:val="Style_2"/>
    <w:link w:val="Style_7_ch"/>
    <w:uiPriority w:val="39"/>
    <w:pPr>
      <w:ind w:firstLine="0" w:left="1200"/>
    </w:pPr>
  </w:style>
  <w:style w:styleId="Style_7_ch" w:type="character">
    <w:name w:val="toc 7"/>
    <w:link w:val="Style_7"/>
  </w:style>
  <w:style w:styleId="Style_8" w:type="paragraph">
    <w:name w:val="heading 3"/>
    <w:next w:val="Style_2"/>
    <w:link w:val="Style_8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8_ch" w:type="character">
    <w:name w:val="heading 3"/>
    <w:link w:val="Style_8"/>
    <w:rPr>
      <w:rFonts w:ascii="XO Thames" w:hAnsi="XO Thames"/>
      <w:b w:val="1"/>
      <w:i w:val="1"/>
      <w:color w:val="000000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toc 3"/>
    <w:next w:val="Style_2"/>
    <w:link w:val="Style_10_ch"/>
    <w:uiPriority w:val="39"/>
    <w:pPr>
      <w:ind w:firstLine="0" w:left="400"/>
    </w:pPr>
  </w:style>
  <w:style w:styleId="Style_10_ch" w:type="character">
    <w:name w:val="toc 3"/>
    <w:link w:val="Style_10"/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1_ch" w:type="character">
    <w:name w:val="heading 5"/>
    <w:link w:val="Style_11"/>
    <w:rPr>
      <w:rFonts w:ascii="XO Thames" w:hAnsi="XO Thames"/>
      <w:b w:val="1"/>
      <w:color w:val="000000"/>
      <w:sz w:val="22"/>
    </w:rPr>
  </w:style>
  <w:style w:styleId="Style_1" w:type="paragraph">
    <w:name w:val="heading 1"/>
    <w:basedOn w:val="Style_2"/>
    <w:link w:val="Style_1_ch"/>
    <w:uiPriority w:val="9"/>
    <w:qFormat/>
    <w:pPr>
      <w:spacing w:afterAutospacing="on" w:beforeAutospacing="on"/>
      <w:ind/>
      <w:outlineLvl w:val="0"/>
    </w:pPr>
    <w:rPr>
      <w:b w:val="1"/>
      <w:sz w:val="48"/>
    </w:rPr>
  </w:style>
  <w:style w:styleId="Style_1_ch" w:type="character">
    <w:name w:val="heading 1"/>
    <w:basedOn w:val="Style_2_ch"/>
    <w:link w:val="Style_1"/>
    <w:rPr>
      <w:b w:val="1"/>
      <w:sz w:val="48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/>
      <w:jc w:val="left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2"/>
    <w:link w:val="Style_14_ch"/>
    <w:uiPriority w:val="39"/>
    <w:pPr>
      <w:ind w:firstLine="0" w:left="0"/>
    </w:pPr>
    <w:rPr>
      <w:rFonts w:ascii="XO Thames" w:hAnsi="XO Thames"/>
      <w:b w:val="1"/>
    </w:rPr>
  </w:style>
  <w:style w:styleId="Style_14_ch" w:type="character">
    <w:name w:val="toc 1"/>
    <w:link w:val="Style_14"/>
    <w:rPr>
      <w:rFonts w:ascii="XO Thames" w:hAnsi="XO Thames"/>
      <w:b w:val="1"/>
    </w:rPr>
  </w:style>
  <w:style w:styleId="Style_15" w:type="paragraph">
    <w:name w:val="Header and Footer"/>
    <w:link w:val="Style_15_ch"/>
    <w:pPr>
      <w:spacing w:line="360" w:lineRule="auto"/>
      <w:ind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next w:val="Style_2"/>
    <w:link w:val="Style_16_ch"/>
    <w:uiPriority w:val="39"/>
    <w:pPr>
      <w:ind w:firstLine="0" w:left="1600"/>
    </w:pPr>
  </w:style>
  <w:style w:styleId="Style_16_ch" w:type="character">
    <w:name w:val="toc 9"/>
    <w:link w:val="Style_16"/>
  </w:style>
  <w:style w:styleId="Style_17" w:type="paragraph">
    <w:name w:val="Body Text Indent 2"/>
    <w:basedOn w:val="Style_2"/>
    <w:link w:val="Style_17_ch"/>
    <w:pPr>
      <w:ind w:firstLine="480"/>
      <w:jc w:val="both"/>
    </w:pPr>
    <w:rPr>
      <w:sz w:val="28"/>
    </w:rPr>
  </w:style>
  <w:style w:styleId="Style_17_ch" w:type="character">
    <w:name w:val="Body Text Indent 2"/>
    <w:basedOn w:val="Style_2_ch"/>
    <w:link w:val="Style_17"/>
    <w:rPr>
      <w:sz w:val="28"/>
    </w:rPr>
  </w:style>
  <w:style w:styleId="Style_18" w:type="paragraph">
    <w:name w:val="toc 8"/>
    <w:next w:val="Style_2"/>
    <w:link w:val="Style_18_ch"/>
    <w:uiPriority w:val="39"/>
    <w:pPr>
      <w:ind w:firstLine="0" w:left="1400"/>
    </w:pPr>
  </w:style>
  <w:style w:styleId="Style_18_ch" w:type="character">
    <w:name w:val="toc 8"/>
    <w:link w:val="Style_18"/>
  </w:style>
  <w:style w:styleId="Style_19" w:type="paragraph">
    <w:name w:val="Normal (Web)"/>
    <w:basedOn w:val="Style_2"/>
    <w:link w:val="Style_19_ch"/>
    <w:pPr>
      <w:spacing w:afterAutospacing="on" w:beforeAutospacing="on"/>
      <w:ind/>
    </w:pPr>
  </w:style>
  <w:style w:styleId="Style_19_ch" w:type="character">
    <w:name w:val="Normal (Web)"/>
    <w:basedOn w:val="Style_2_ch"/>
    <w:link w:val="Style_19"/>
  </w:style>
  <w:style w:styleId="Style_20" w:type="paragraph">
    <w:name w:val="toc 5"/>
    <w:next w:val="Style_2"/>
    <w:link w:val="Style_20_ch"/>
    <w:uiPriority w:val="39"/>
    <w:pPr>
      <w:ind w:firstLine="0" w:left="800"/>
    </w:pPr>
  </w:style>
  <w:style w:styleId="Style_20_ch" w:type="character">
    <w:name w:val="toc 5"/>
    <w:link w:val="Style_20"/>
  </w:style>
  <w:style w:styleId="Style_21" w:type="paragraph">
    <w:name w:val="Subtitle"/>
    <w:next w:val="Style_2"/>
    <w:link w:val="Style_21_ch"/>
    <w:uiPriority w:val="11"/>
    <w:qFormat/>
    <w:rPr>
      <w:rFonts w:ascii="XO Thames" w:hAnsi="XO Thames"/>
      <w:i w:val="1"/>
      <w:color w:val="616161"/>
      <w:sz w:val="24"/>
    </w:rPr>
  </w:style>
  <w:style w:styleId="Style_21_ch" w:type="character">
    <w:name w:val="Subtitle"/>
    <w:link w:val="Style_21"/>
    <w:rPr>
      <w:rFonts w:ascii="XO Thames" w:hAnsi="XO Thames"/>
      <w:i w:val="1"/>
      <w:color w:val="616161"/>
      <w:sz w:val="24"/>
    </w:rPr>
  </w:style>
  <w:style w:styleId="Style_22" w:type="paragraph">
    <w:name w:val="toc 10"/>
    <w:next w:val="Style_2"/>
    <w:link w:val="Style_22_ch"/>
    <w:uiPriority w:val="39"/>
    <w:pPr>
      <w:ind w:firstLine="0" w:left="1800"/>
    </w:pPr>
  </w:style>
  <w:style w:styleId="Style_22_ch" w:type="character">
    <w:name w:val="toc 10"/>
    <w:link w:val="Style_22"/>
  </w:style>
  <w:style w:styleId="Style_23" w:type="paragraph">
    <w:name w:val="Title"/>
    <w:basedOn w:val="Style_2"/>
    <w:link w:val="Style_23_ch"/>
    <w:uiPriority w:val="10"/>
    <w:qFormat/>
    <w:pPr>
      <w:ind/>
      <w:jc w:val="center"/>
    </w:pPr>
    <w:rPr>
      <w:sz w:val="28"/>
    </w:rPr>
  </w:style>
  <w:style w:styleId="Style_23_ch" w:type="character">
    <w:name w:val="Title"/>
    <w:basedOn w:val="Style_2_ch"/>
    <w:link w:val="Style_23"/>
    <w:rPr>
      <w:sz w:val="28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4_ch" w:type="character">
    <w:name w:val="heading 4"/>
    <w:link w:val="Style_24"/>
    <w:rPr>
      <w:rFonts w:ascii="XO Thames" w:hAnsi="XO Thames"/>
      <w:b w:val="1"/>
      <w:color w:val="595959"/>
      <w:sz w:val="26"/>
    </w:rPr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5_ch" w:type="character">
    <w:name w:val="heading 2"/>
    <w:link w:val="Style_25"/>
    <w:rPr>
      <w:rFonts w:ascii="XO Thames" w:hAnsi="XO Thames"/>
      <w:b w:val="1"/>
      <w:color w:val="00A0FF"/>
      <w:sz w:val="26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media/1.jpeg" Type="http://schemas.openxmlformats.org/officeDocument/2006/relationships/imag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_rels/core.xml.rels><?xml version="1.0" encoding="UTF-8" standalone="no" ?>
<Relationships xmlns="http://schemas.openxmlformats.org/package/2006/relationships">
  <Relationship Id="rId1" Target="" Type="http://schemas.openxmlformats.org/officeDocument/2006/relationships/extended-properties"/>
</Relationships>
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MyOffice-CoreFramework-Windows/20.0-761.255.4009.395.6@RELEASE-DESKTOP-QUASSIA-RC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2021-09-07T08:01:59Z</dcterms:modified>
</cp:coreProperties>
</file>